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nota-interna-estratégia-de-defesa"/>
    <w:p>
      <w:pPr>
        <w:pStyle w:val="Heading2"/>
      </w:pPr>
      <w:r>
        <w:t xml:space="preserve">Nota Interna – Estratégia de Defesa</w:t>
      </w:r>
    </w:p>
    <w:p>
      <w:pPr>
        <w:pStyle w:val="FirstParagraph"/>
      </w:pPr>
      <w:r>
        <w:rPr>
          <w:b/>
          <w:bCs/>
        </w:rPr>
        <w:t xml:space="preserve">Data:</w:t>
      </w:r>
      <w:r>
        <w:t xml:space="preserve"> </w:t>
      </w:r>
      <w:r>
        <w:t xml:space="preserve">18 de fevereiro de 2026</w:t>
      </w:r>
      <w:r>
        <w:br/>
      </w:r>
      <w:r>
        <w:rPr>
          <w:b/>
          <w:bCs/>
        </w:rPr>
        <w:t xml:space="preserve">Destinatários:</w:t>
      </w:r>
      <w:r>
        <w:t xml:space="preserve"> </w:t>
      </w:r>
      <w:r>
        <w:t xml:space="preserve">Dr. Ana Pereira (OA 12345) – Advogada de defesa; Dr. Luís Carvalho (OA 67890) – Advogado de defesa; Dr. Marta Santos (OA 54321) – Procuradora do Ministério Público (cópia para conhecimento)</w:t>
      </w:r>
      <w:r>
        <w:br/>
      </w:r>
      <w:r>
        <w:rPr>
          <w:b/>
          <w:bCs/>
        </w:rPr>
        <w:t xml:space="preserve">De:</w:t>
      </w:r>
      <w:r>
        <w:t xml:space="preserve"> </w:t>
      </w:r>
      <w:r>
        <w:t xml:space="preserve">Equipa de Defesa – João da Silva</w:t>
      </w:r>
      <w:r>
        <w:br/>
      </w:r>
      <w:r>
        <w:rPr>
          <w:b/>
          <w:bCs/>
        </w:rPr>
        <w:t xml:space="preserve">Assunto:</w:t>
      </w:r>
      <w:r>
        <w:t xml:space="preserve"> </w:t>
      </w:r>
      <w:r>
        <w:t xml:space="preserve">Definição da estratégia de defesa para a fase de julgamento do</w:t>
      </w:r>
      <w:r>
        <w:t xml:space="preserve"> </w:t>
      </w:r>
      <w:r>
        <w:rPr>
          <w:b/>
          <w:bCs/>
        </w:rPr>
        <w:t xml:space="preserve">Processo Penal n.º 2023/0456</w:t>
      </w:r>
      <w:r>
        <w:t xml:space="preserve"> </w:t>
      </w:r>
      <w:r>
        <w:t xml:space="preserve">(Burla informática por phishing – transferências fraudulentas de €32 000)</w:t>
      </w:r>
    </w:p>
    <w:p>
      <w:r>
        <w:pict>
          <v:rect style="width:0;height:1.5pt" o:hralign="center" o:hrstd="t" o:hr="t"/>
        </w:pict>
      </w:r>
    </w:p>
    <w:bookmarkStart w:id="9" w:name="contexto-processual"/>
    <w:p>
      <w:pPr>
        <w:pStyle w:val="Heading3"/>
      </w:pPr>
      <w:r>
        <w:t xml:space="preserve">1. Contexto Processual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600"/>
        <w:gridCol w:w="4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Elemento</w:t>
            </w:r>
          </w:p>
        </w:tc>
        <w:tc>
          <w:tcPr/>
          <w:p>
            <w:pPr>
              <w:pStyle w:val="Compact"/>
            </w:pPr>
            <w:r>
              <w:t xml:space="preserve">Informação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Processo</w:t>
            </w:r>
          </w:p>
        </w:tc>
        <w:tc>
          <w:tcPr/>
          <w:p>
            <w:pPr>
              <w:pStyle w:val="Compact"/>
            </w:pPr>
            <w:r>
              <w:t xml:space="preserve">Penal n.º 2023/0456 – Tribunal Judicial de Lisboa, Juiz de Instrução Criminal nº 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Autor/Requerente</w:t>
            </w:r>
          </w:p>
        </w:tc>
        <w:tc>
          <w:tcPr/>
          <w:p>
            <w:pPr>
              <w:pStyle w:val="Compact"/>
            </w:pPr>
            <w:r>
              <w:t xml:space="preserve">Ministério Público (Secção de Instrução Criminal)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</w:t>
            </w:r>
          </w:p>
        </w:tc>
        <w:tc>
          <w:tcPr/>
          <w:p>
            <w:pPr>
              <w:pStyle w:val="Compact"/>
            </w:pPr>
            <w:r>
              <w:t xml:space="preserve">João da Silva, residente em Rua da Prata, nº 45, 1.º Dto., 1150‑273 Lisboa (NIF 123 456 789)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Fatos principais</w:t>
            </w:r>
          </w:p>
        </w:tc>
        <w:tc>
          <w:tcPr/>
          <w:p>
            <w:pPr>
              <w:pStyle w:val="Compact"/>
            </w:pPr>
            <w:r>
              <w:t xml:space="preserve">Entre 10 e 25 de março de 2023, supostas mensagens de phishing foram enviadas a terceiros, resultando em transferências bancárias totalizando</w:t>
            </w:r>
            <w:r>
              <w:t xml:space="preserve"> </w:t>
            </w:r>
            <w:r>
              <w:rPr>
                <w:b/>
                <w:bCs/>
              </w:rPr>
              <w:t xml:space="preserve">€32 000</w:t>
            </w:r>
            <w:r>
              <w:t xml:space="preserve"> </w:t>
            </w:r>
            <w:r>
              <w:t xml:space="preserve">para contas controladas pelo réu.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Estado atual</w:t>
            </w:r>
          </w:p>
        </w:tc>
        <w:tc>
          <w:tcPr/>
          <w:p>
            <w:pPr>
              <w:pStyle w:val="Compact"/>
            </w:pPr>
            <w:r>
              <w:t xml:space="preserve">Fase de instrução concluída; produção de prova eletrónica concluída; perícia informática em curso; contestação da defesa apresentada.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Objetivo da nota</w:t>
            </w:r>
          </w:p>
        </w:tc>
        <w:tc>
          <w:tcPr/>
          <w:p>
            <w:pPr>
              <w:pStyle w:val="Compact"/>
            </w:pPr>
            <w:r>
              <w:t xml:space="preserve">Consolidar a linha de defesa a ser seguida na fase de julgamento, designar tarefas, fixar prazos e identificar os argumentos jurídicos centrais.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análise-preliminar"/>
    <w:p>
      <w:pPr>
        <w:pStyle w:val="Heading3"/>
      </w:pPr>
      <w:r>
        <w:t xml:space="preserve">2. Análise Preliminar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Natureza da prova eletrónica</w:t>
      </w:r>
      <w:r>
        <w:t xml:space="preserve"> </w:t>
      </w:r>
      <w:r>
        <w:t xml:space="preserve">– A maioria dos elementos probatórios consiste em registos de e‑mail, logs de acesso ao servidor de correio e screenshots de mensagens. A autenticidade e a cadeia de custódia destes documentos são cruciais.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Responsabilidade subjetiva</w:t>
      </w:r>
      <w:r>
        <w:t xml:space="preserve"> </w:t>
      </w:r>
      <w:r>
        <w:t xml:space="preserve">– O artigo 217.º do Código Penal exige dolo direto ou eventual. A defesa sustenta que o réu não teve conhecimento nem intenção de praticar a burla, sendo apenas um “intermediário involuntário” de terceiros.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Possibilidade de excludente de ilicitude</w:t>
      </w:r>
      <w:r>
        <w:t xml:space="preserve"> </w:t>
      </w:r>
      <w:r>
        <w:t xml:space="preserve">– Alegação de erro de direito ou erro de facto sobre a natureza da operação bancária (crédito “legítimo”).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Prescrição</w:t>
      </w:r>
      <w:r>
        <w:t xml:space="preserve"> </w:t>
      </w:r>
      <w:r>
        <w:t xml:space="preserve">– Verificar se algum dos atos pode estar sujeito a prescrição parcial, considerando a data da última transferência (25 de março de 2023).</w:t>
      </w:r>
    </w:p>
    <w:p>
      <w:r>
        <w:pict>
          <v:rect style="width:0;height:1.5pt" o:hralign="center" o:hrstd="t" o:hr="t"/>
        </w:pict>
      </w:r>
    </w:p>
    <w:bookmarkEnd w:id="10"/>
    <w:bookmarkStart w:id="11" w:name="teses-jurídicas-a-defender"/>
    <w:p>
      <w:pPr>
        <w:pStyle w:val="Heading3"/>
      </w:pPr>
      <w:r>
        <w:t xml:space="preserve">3. Teses Jurídicas a Defender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18"/>
        <w:gridCol w:w="1827"/>
        <w:gridCol w:w="487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Tese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Ausência de dolo</w:t>
            </w:r>
            <w:r>
              <w:t xml:space="preserve"> </w:t>
            </w:r>
            <w:r>
              <w:t xml:space="preserve">– O réu não agiu com intenção de enganar nem com consciência da ilicitude.</w:t>
            </w:r>
          </w:p>
        </w:tc>
        <w:tc>
          <w:tcPr/>
          <w:p>
            <w:pPr>
              <w:pStyle w:val="Compact"/>
            </w:pPr>
            <w:r>
              <w:t xml:space="preserve">Artigo 217.º, n.º 1 do CP; jurisprudência do STJ,</w:t>
            </w:r>
            <w:r>
              <w:t xml:space="preserve"> </w:t>
            </w:r>
            <w:r>
              <w:rPr>
                <w:b/>
                <w:bCs/>
              </w:rPr>
              <w:t xml:space="preserve">Acórdão 12/20.1T8LSB</w:t>
            </w:r>
            <w:r>
              <w:t xml:space="preserve"> </w:t>
            </w:r>
            <w:r>
              <w:t xml:space="preserve">(dolo direto exigido).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Violação da cadeia de custódia dos dados eletrónicos</w:t>
            </w:r>
            <w:r>
              <w:t xml:space="preserve"> </w:t>
            </w:r>
            <w:r>
              <w:t xml:space="preserve">– Falhas na preservação dos logs e na certificação dos screenshots comprometem a validade da prova.</w:t>
            </w:r>
          </w:p>
        </w:tc>
        <w:tc>
          <w:tcPr/>
          <w:p>
            <w:pPr>
              <w:pStyle w:val="Compact"/>
            </w:pPr>
            <w:r>
              <w:t xml:space="preserve">Artigo 9.º do CPC (prova documental);</w:t>
            </w:r>
            <w:r>
              <w:t xml:space="preserve"> </w:t>
            </w:r>
            <w:r>
              <w:rPr>
                <w:b/>
                <w:bCs/>
              </w:rPr>
              <w:t xml:space="preserve">Decisão do Tribunal de Lisboa, 5.º Sec., 23/05/2024</w:t>
            </w:r>
            <w:r>
              <w:t xml:space="preserve"> </w:t>
            </w:r>
            <w:r>
              <w:t xml:space="preserve">(necessidade de selo digital).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Excludente de erro de facto</w:t>
            </w:r>
            <w:r>
              <w:t xml:space="preserve"> </w:t>
            </w:r>
            <w:r>
              <w:t xml:space="preserve">– O réu acreditava que as transferências eram legítimas, baseando‑se em documentos falsificados que simulavam ordens de pagamento.</w:t>
            </w:r>
          </w:p>
        </w:tc>
        <w:tc>
          <w:tcPr/>
          <w:p>
            <w:pPr>
              <w:pStyle w:val="Compact"/>
            </w:pPr>
            <w:r>
              <w:t xml:space="preserve">Artigo 22.º do CP (erro de facto sobre a ilicitude);</w:t>
            </w:r>
            <w:r>
              <w:t xml:space="preserve"> </w:t>
            </w:r>
            <w:r>
              <w:rPr>
                <w:b/>
                <w:bCs/>
              </w:rPr>
              <w:t xml:space="preserve">Jurisprudência, Acórdão 7/22.2T8LSB</w:t>
            </w:r>
            <w:r>
              <w:t xml:space="preserve">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7" w:name="plano-de-ação"/>
    <w:p>
      <w:pPr>
        <w:pStyle w:val="Heading3"/>
      </w:pPr>
      <w:r>
        <w:t xml:space="preserve">4. Plano de Ação</w:t>
      </w:r>
    </w:p>
    <w:bookmarkStart w:id="12" w:name="perícias-e-assistência-técnica"/>
    <w:p>
      <w:pPr>
        <w:pStyle w:val="Heading4"/>
      </w:pPr>
      <w:r>
        <w:t xml:space="preserve">4.1. Perícias e Assistência Técnica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36"/>
        <w:gridCol w:w="2288"/>
        <w:gridCol w:w="1232"/>
        <w:gridCol w:w="246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Atividade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Prazo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Revisão da perícia informática</w:t>
            </w:r>
            <w:r>
              <w:t xml:space="preserve"> </w:t>
            </w:r>
            <w:r>
              <w:t xml:space="preserve">(verificação da integridade dos logs)</w:t>
            </w:r>
          </w:p>
        </w:tc>
        <w:tc>
          <w:tcPr/>
          <w:p>
            <w:pPr>
              <w:pStyle w:val="Compact"/>
            </w:pPr>
            <w:r>
              <w:t xml:space="preserve">Dr. Luís Carvalho (em colaboração com perito informático Sr. Pedro Ramos – NIF 987 654 321)</w:t>
            </w:r>
          </w:p>
        </w:tc>
        <w:tc>
          <w:tcPr/>
          <w:p>
            <w:pPr>
              <w:pStyle w:val="Compact"/>
            </w:pPr>
            <w:r>
              <w:t xml:space="preserve">28 de fevereiro de 2026</w:t>
            </w:r>
          </w:p>
        </w:tc>
        <w:tc>
          <w:tcPr/>
          <w:p>
            <w:pPr>
              <w:pStyle w:val="Compact"/>
            </w:pPr>
            <w:r>
              <w:t xml:space="preserve">Solicitar relatório complementar ao perito nomeado pelo Juízo.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Contraprova de autenticidade dos e‑mails</w:t>
            </w:r>
            <w:r>
              <w:t xml:space="preserve"> </w:t>
            </w:r>
            <w:r>
              <w:t xml:space="preserve">(análise de cabeçalhos, DKIM, SPF)</w:t>
            </w:r>
          </w:p>
        </w:tc>
        <w:tc>
          <w:tcPr/>
          <w:p>
            <w:pPr>
              <w:pStyle w:val="Compact"/>
            </w:pPr>
            <w:r>
              <w:t xml:space="preserve">Dr. Ana Pereira</w:t>
            </w:r>
          </w:p>
        </w:tc>
        <w:tc>
          <w:tcPr/>
          <w:p>
            <w:pPr>
              <w:pStyle w:val="Compact"/>
            </w:pPr>
            <w:r>
              <w:t xml:space="preserve">5 de março de 2026</w:t>
            </w:r>
          </w:p>
        </w:tc>
        <w:tc>
          <w:tcPr/>
          <w:p>
            <w:pPr>
              <w:pStyle w:val="Compact"/>
            </w:pPr>
            <w:r>
              <w:t xml:space="preserve">Utilizar ferramenta “MailHeader Analyzer” certificada.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Avaliação de possíveis testemunhas técnicas</w:t>
            </w:r>
            <w:r>
              <w:t xml:space="preserve"> </w:t>
            </w:r>
            <w:r>
              <w:t xml:space="preserve">(ex‑funcionário da entidade bancária)</w:t>
            </w:r>
          </w:p>
        </w:tc>
        <w:tc>
          <w:tcPr/>
          <w:p>
            <w:pPr>
              <w:pStyle w:val="Compact"/>
            </w:pPr>
            <w:r>
              <w:t xml:space="preserve">Dr. Ana Pereira</w:t>
            </w:r>
          </w:p>
        </w:tc>
        <w:tc>
          <w:tcPr/>
          <w:p>
            <w:pPr>
              <w:pStyle w:val="Compact"/>
            </w:pPr>
            <w:r>
              <w:t xml:space="preserve">10 de março de 2026</w:t>
            </w:r>
          </w:p>
        </w:tc>
        <w:tc>
          <w:tcPr/>
          <w:p>
            <w:pPr>
              <w:pStyle w:val="Compact"/>
            </w:pPr>
            <w:r>
              <w:t xml:space="preserve">Identificar colaborador que tenha participado na validação das transferências.</w:t>
            </w:r>
          </w:p>
        </w:tc>
      </w:tr>
    </w:tbl>
    <w:bookmarkEnd w:id="12"/>
    <w:bookmarkStart w:id="13" w:name="testemunhas-de-facto"/>
    <w:p>
      <w:pPr>
        <w:pStyle w:val="Heading4"/>
      </w:pPr>
      <w:r>
        <w:t xml:space="preserve">4.2. Testemunhas de Facto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697"/>
        <w:gridCol w:w="2828"/>
        <w:gridCol w:w="339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Testemunha</w:t>
            </w:r>
          </w:p>
        </w:tc>
        <w:tc>
          <w:tcPr/>
          <w:p>
            <w:pPr>
              <w:pStyle w:val="Compact"/>
            </w:pPr>
            <w:r>
              <w:t xml:space="preserve">Relação com o caso</w:t>
            </w:r>
          </w:p>
        </w:tc>
        <w:tc>
          <w:tcPr/>
          <w:p>
            <w:pPr>
              <w:pStyle w:val="Compact"/>
            </w:pPr>
            <w:r>
              <w:t xml:space="preserve">Objetivo do depoimento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Maria Fernandes</w:t>
            </w:r>
            <w:r>
              <w:t xml:space="preserve"> </w:t>
            </w:r>
            <w:r>
              <w:t xml:space="preserve">(ex‑colega de trabalho do réu)</w:t>
            </w:r>
          </w:p>
        </w:tc>
        <w:tc>
          <w:tcPr/>
          <w:p>
            <w:pPr>
              <w:pStyle w:val="Compact"/>
            </w:pPr>
            <w:r>
              <w:t xml:space="preserve">Conhece a rotina de uso de e‑mail do réu</w:t>
            </w:r>
          </w:p>
        </w:tc>
        <w:tc>
          <w:tcPr/>
          <w:p>
            <w:pPr>
              <w:pStyle w:val="Compact"/>
            </w:pPr>
            <w:r>
              <w:t xml:space="preserve">Atestar a inexistência de prática habitual de phishing.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Carlos Mendes</w:t>
            </w:r>
            <w:r>
              <w:t xml:space="preserve"> </w:t>
            </w:r>
            <w:r>
              <w:t xml:space="preserve">(gerente da agência bancária “Banco Lusitano”)</w:t>
            </w:r>
          </w:p>
        </w:tc>
        <w:tc>
          <w:tcPr/>
          <w:p>
            <w:pPr>
              <w:pStyle w:val="Compact"/>
            </w:pPr>
            <w:r>
              <w:t xml:space="preserve">Supervisionou a operação de transferência</w:t>
            </w:r>
          </w:p>
        </w:tc>
        <w:tc>
          <w:tcPr/>
          <w:p>
            <w:pPr>
              <w:pStyle w:val="Compact"/>
            </w:pPr>
            <w:r>
              <w:t xml:space="preserve">Confirmar que as ordens foram apresentadas com documentação aparentemente regular.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 Pedro Ramos</w:t>
            </w:r>
            <w:r>
              <w:t xml:space="preserve"> </w:t>
            </w:r>
            <w:r>
              <w:t xml:space="preserve">(perito informático)</w:t>
            </w:r>
          </w:p>
        </w:tc>
        <w:tc>
          <w:tcPr/>
          <w:p>
            <w:pPr>
              <w:pStyle w:val="Compact"/>
            </w:pPr>
            <w:r>
              <w:t xml:space="preserve">Responsável pela análise dos logs</w:t>
            </w:r>
          </w:p>
        </w:tc>
        <w:tc>
          <w:tcPr/>
          <w:p>
            <w:pPr>
              <w:pStyle w:val="Compact"/>
            </w:pPr>
            <w:r>
              <w:t xml:space="preserve">Explicar eventuais falhas na cadeia de custódia e a possibilidade de manipulação externa.</w:t>
            </w:r>
          </w:p>
        </w:tc>
      </w:tr>
    </w:tbl>
    <w:bookmarkEnd w:id="13"/>
    <w:bookmarkStart w:id="14" w:name="pedidos-de-diligência-ao-juízo"/>
    <w:p>
      <w:pPr>
        <w:pStyle w:val="Heading4"/>
      </w:pPr>
      <w:r>
        <w:t xml:space="preserve">4.3. Pedidos de Diligência ao Juízo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Pedido de produção de documentos</w:t>
      </w:r>
      <w:r>
        <w:t xml:space="preserve"> </w:t>
      </w:r>
      <w:r>
        <w:t xml:space="preserve">– Solicitar ao Banco Lusitano a entrega de todos os registos internos de verificação de ordens de pagamento (relatórios de compliance).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Pedido de exclusão de prova</w:t>
      </w:r>
      <w:r>
        <w:t xml:space="preserve"> </w:t>
      </w:r>
      <w:r>
        <w:t xml:space="preserve">– Com base na violação da cadeia de custódia, requerer a exclusão dos screenshots apresentados pelo Ministério Público.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Pedido de adiamento</w:t>
      </w:r>
      <w:r>
        <w:t xml:space="preserve"> </w:t>
      </w:r>
      <w:r>
        <w:t xml:space="preserve">– Caso a perícia complementar não seja concluída até 15 de março, requerer a suspensão da audiência de julgamento.</w:t>
      </w:r>
    </w:p>
    <w:bookmarkEnd w:id="14"/>
    <w:bookmarkStart w:id="15" w:name="argumentação-jurídica"/>
    <w:p>
      <w:pPr>
        <w:pStyle w:val="Heading4"/>
      </w:pPr>
      <w:r>
        <w:t xml:space="preserve">4.4. Argumentação Jurídica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Fundamentar a ausência de dolo</w:t>
      </w:r>
      <w:r>
        <w:t xml:space="preserve"> </w:t>
      </w:r>
      <w:r>
        <w:t xml:space="preserve">mediante análise do “estado de consciência” do réu no momento das transferências, recorrendo a provas testemunhais e periciais que demonstrem a falta de conhecimento da fraude.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Invocar o princípio da prova legal</w:t>
      </w:r>
      <w:r>
        <w:t xml:space="preserve"> </w:t>
      </w:r>
      <w:r>
        <w:t xml:space="preserve">(artigo 20.º, n.º 2 do CPC) para contestar a admissibilidade de provas obtidas sem a devida certificação digital.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Aplicar a excludente de erro de facto</w:t>
      </w:r>
      <w:r>
        <w:t xml:space="preserve">, demonstrando que o réu acreditava estar a cumprir ordens legítimas, sustentado por documentos falsificados que imitavam comunicações oficiais.</w:t>
      </w:r>
    </w:p>
    <w:bookmarkEnd w:id="15"/>
    <w:bookmarkStart w:id="16" w:name="cronograma-de-preparação"/>
    <w:p>
      <w:pPr>
        <w:pStyle w:val="Heading4"/>
      </w:pPr>
      <w:r>
        <w:t xml:space="preserve">4.5. Cronograma de Preparação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795"/>
        <w:gridCol w:w="512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Atividade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22/02/2026</w:t>
            </w:r>
          </w:p>
        </w:tc>
        <w:tc>
          <w:tcPr/>
          <w:p>
            <w:pPr>
              <w:pStyle w:val="Compact"/>
            </w:pPr>
            <w:r>
              <w:t xml:space="preserve">Reunião de alinhamento da equipa (presencial, Sala 3 – Escritório da Defesa)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28/02/2026</w:t>
            </w:r>
          </w:p>
        </w:tc>
        <w:tc>
          <w:tcPr/>
          <w:p>
            <w:pPr>
              <w:pStyle w:val="Compact"/>
            </w:pPr>
            <w:r>
              <w:t xml:space="preserve">Receção do relatório complementar da perícia informática</w:t>
            </w:r>
          </w:p>
        </w:tc>
      </w:tr>
      <w:tr>
        <w:tc>
          <w:tcPr/>
          <w:p>
            <w:pPr>
              <w:pStyle w:val="Compact"/>
            </w:pPr>
            <w:r>
              <w:t xml:space="preserve">05/03/2026</w:t>
            </w:r>
          </w:p>
        </w:tc>
        <w:tc>
          <w:tcPr/>
          <w:p>
            <w:pPr>
              <w:pStyle w:val="Compact"/>
            </w:pPr>
            <w:r>
              <w:t xml:space="preserve">Conclusão da análise de cabeçalhos de e‑mail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10/03/2026</w:t>
            </w:r>
          </w:p>
        </w:tc>
        <w:tc>
          <w:tcPr/>
          <w:p>
            <w:pPr>
              <w:pStyle w:val="Compact"/>
            </w:pPr>
            <w:r>
              <w:t xml:space="preserve">Identificação e contacto das testemunhas de facto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15/03/2026</w:t>
            </w:r>
          </w:p>
        </w:tc>
        <w:tc>
          <w:tcPr/>
          <w:p>
            <w:pPr>
              <w:pStyle w:val="Compact"/>
            </w:pPr>
            <w:r>
              <w:t xml:space="preserve">Redação dos pedidos de diligência ao Juízo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20/03/2026</w:t>
            </w:r>
          </w:p>
        </w:tc>
        <w:tc>
          <w:tcPr/>
          <w:p>
            <w:pPr>
              <w:pStyle w:val="Compact"/>
            </w:pPr>
            <w:r>
              <w:t xml:space="preserve">Elaboração da</w:t>
            </w:r>
            <w:r>
              <w:t xml:space="preserve"> </w:t>
            </w:r>
            <w:r>
              <w:rPr>
                <w:b/>
                <w:bCs/>
              </w:rPr>
              <w:t xml:space="preserve">Memória de Defesa</w:t>
            </w:r>
            <w:r>
              <w:t xml:space="preserve"> </w:t>
            </w:r>
            <w:r>
              <w:t xml:space="preserve">(argumentação escrita)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27/03/2026</w:t>
            </w:r>
          </w:p>
        </w:tc>
        <w:tc>
          <w:tcPr/>
          <w:p>
            <w:pPr>
              <w:pStyle w:val="Compact"/>
            </w:pPr>
            <w:r>
              <w:t xml:space="preserve">Revisão final e entrega da memória ao Juiz (prazo judicial)</w:t>
            </w:r>
          </w:p>
        </w:tc>
      </w:tr>
      <w:tr>
        <w:tc>
          <w:tcPr/>
          <w:p>
            <w:pPr>
              <w:pStyle w:val="Compact"/>
            </w:pPr>
            <w:r>
              <w:t xml:space="preserve">02/04/2026</w:t>
            </w:r>
          </w:p>
        </w:tc>
        <w:tc>
          <w:tcPr/>
          <w:p>
            <w:pPr>
              <w:pStyle w:val="Compact"/>
            </w:pPr>
            <w:r>
              <w:t xml:space="preserve">Simulação de interrogatório de testemunhas (treino interno)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08/04/2026</w:t>
            </w:r>
          </w:p>
        </w:tc>
        <w:tc>
          <w:tcPr/>
          <w:p>
            <w:pPr>
              <w:pStyle w:val="Compact"/>
            </w:pPr>
            <w:r>
              <w:t xml:space="preserve">Audiência de julgamento (data a confirmar)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6"/>
    <w:bookmarkEnd w:id="17"/>
    <w:bookmarkStart w:id="18" w:name="responsabilidades"/>
    <w:p>
      <w:pPr>
        <w:pStyle w:val="Heading3"/>
      </w:pPr>
      <w:r>
        <w:t xml:space="preserve">5. Responsabilidades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760"/>
        <w:gridCol w:w="1760"/>
        <w:gridCol w:w="44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Pessoa</w:t>
            </w:r>
          </w:p>
        </w:tc>
        <w:tc>
          <w:tcPr/>
          <w:p>
            <w:pPr>
              <w:pStyle w:val="Compact"/>
            </w:pPr>
            <w:r>
              <w:t xml:space="preserve">Função</w:t>
            </w:r>
          </w:p>
        </w:tc>
        <w:tc>
          <w:tcPr/>
          <w:p>
            <w:pPr>
              <w:pStyle w:val="Compact"/>
            </w:pPr>
            <w:r>
              <w:t xml:space="preserve">Tarefas Principais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 Ana Pereira</w:t>
            </w:r>
            <w:r>
              <w:t xml:space="preserve"> </w:t>
            </w:r>
            <w:r>
              <w:t xml:space="preserve">(OA 12345)</w:t>
            </w:r>
          </w:p>
        </w:tc>
        <w:tc>
          <w:tcPr/>
          <w:p>
            <w:pPr>
              <w:pStyle w:val="Compact"/>
            </w:pPr>
            <w:r>
              <w:t xml:space="preserve">Coordenadora da defesa</w:t>
            </w:r>
          </w:p>
        </w:tc>
        <w:tc>
          <w:tcPr/>
          <w:p>
            <w:pPr>
              <w:pStyle w:val="Compact"/>
            </w:pPr>
            <w:r>
              <w:t xml:space="preserve">Direção estratégica, elaboração da memória, contacto com testemunhas.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 Luís Carvalho</w:t>
            </w:r>
            <w:r>
              <w:t xml:space="preserve"> </w:t>
            </w:r>
            <w:r>
              <w:t xml:space="preserve">(OA 67890)</w:t>
            </w:r>
          </w:p>
        </w:tc>
        <w:tc>
          <w:tcPr/>
          <w:p>
            <w:pPr>
              <w:pStyle w:val="Compact"/>
            </w:pPr>
            <w:r>
              <w:t xml:space="preserve">Responsável técnico‑pericial</w:t>
            </w:r>
          </w:p>
        </w:tc>
        <w:tc>
          <w:tcPr/>
          <w:p>
            <w:pPr>
              <w:pStyle w:val="Compact"/>
            </w:pPr>
            <w:r>
              <w:t xml:space="preserve">Coordenação da perícia informática, revisão de documentos eletrónicos.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 Marta Santos</w:t>
            </w:r>
            <w:r>
              <w:t xml:space="preserve"> </w:t>
            </w:r>
            <w:r>
              <w:t xml:space="preserve">(OA 54321)</w:t>
            </w:r>
          </w:p>
        </w:tc>
        <w:tc>
          <w:tcPr/>
          <w:p>
            <w:pPr>
              <w:pStyle w:val="Compact"/>
            </w:pPr>
            <w:r>
              <w:t xml:space="preserve">Procuradora do MP (cópia)</w:t>
            </w:r>
          </w:p>
        </w:tc>
        <w:tc>
          <w:tcPr/>
          <w:p>
            <w:pPr>
              <w:pStyle w:val="Compact"/>
            </w:pPr>
            <w:r>
              <w:t xml:space="preserve">Monitorização do cumprimento dos prazos processuais (para fins de controlo interno).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Sr. Pedro Ramos</w:t>
            </w:r>
            <w:r>
              <w:t xml:space="preserve"> </w:t>
            </w:r>
            <w:r>
              <w:t xml:space="preserve">(perito)</w:t>
            </w:r>
          </w:p>
        </w:tc>
        <w:tc>
          <w:tcPr/>
          <w:p>
            <w:pPr>
              <w:pStyle w:val="Compact"/>
            </w:pPr>
            <w:r>
              <w:t xml:space="preserve">Perito informático</w:t>
            </w:r>
          </w:p>
        </w:tc>
        <w:tc>
          <w:tcPr/>
          <w:p>
            <w:pPr>
              <w:pStyle w:val="Compact"/>
            </w:pPr>
            <w:r>
              <w:t xml:space="preserve">Análise de logs, elaboração de parecer técnico.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Assistente Jurídico – Sofia Ribeiro</w:t>
            </w:r>
          </w:p>
        </w:tc>
        <w:tc>
          <w:tcPr/>
          <w:p>
            <w:pPr>
              <w:pStyle w:val="Compact"/>
            </w:pPr>
            <w:r>
              <w:t xml:space="preserve">Apoio administrativo</w:t>
            </w:r>
          </w:p>
        </w:tc>
        <w:tc>
          <w:tcPr/>
          <w:p>
            <w:pPr>
              <w:pStyle w:val="Compact"/>
            </w:pPr>
            <w:r>
              <w:t xml:space="preserve">Organização de documentos, agendamento de reuniões, preparação de atos processuais.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conclusão"/>
    <w:p>
      <w:pPr>
        <w:pStyle w:val="Heading3"/>
      </w:pPr>
      <w:r>
        <w:t xml:space="preserve">6. Conclusão</w:t>
      </w:r>
    </w:p>
    <w:p>
      <w:pPr>
        <w:pStyle w:val="FirstParagraph"/>
      </w:pPr>
      <w:r>
        <w:t xml:space="preserve">A defesa deve concentrar‑se na demonstração da</w:t>
      </w:r>
      <w:r>
        <w:t xml:space="preserve"> </w:t>
      </w:r>
      <w:r>
        <w:rPr>
          <w:b/>
          <w:bCs/>
        </w:rPr>
        <w:t xml:space="preserve">ausência de dolo</w:t>
      </w:r>
      <w:r>
        <w:t xml:space="preserve">, na</w:t>
      </w:r>
      <w:r>
        <w:t xml:space="preserve"> </w:t>
      </w:r>
      <w:r>
        <w:rPr>
          <w:b/>
          <w:bCs/>
        </w:rPr>
        <w:t xml:space="preserve">contestação da validade das provas eletrónicas</w:t>
      </w:r>
      <w:r>
        <w:t xml:space="preserve"> </w:t>
      </w:r>
      <w:r>
        <w:t xml:space="preserve">e na</w:t>
      </w:r>
      <w:r>
        <w:t xml:space="preserve"> </w:t>
      </w:r>
      <w:r>
        <w:rPr>
          <w:b/>
          <w:bCs/>
        </w:rPr>
        <w:t xml:space="preserve">aplicação da excludente de erro de facto</w:t>
      </w:r>
      <w:r>
        <w:t xml:space="preserve">. A estratégia delineada acima garante a cobertura de todos os pontos críticos do processo, assegurando que os direitos do réu sejam plenamente tutelados na fase de julgamento.</w:t>
      </w:r>
    </w:p>
    <w:p>
      <w:pPr>
        <w:pStyle w:val="BlockText"/>
      </w:pPr>
      <w:r>
        <w:rPr>
          <w:b/>
          <w:bCs/>
        </w:rPr>
        <w:t xml:space="preserve">“A justiça só é plena quando a prova é recolhida e apreciada dentro dos limites da legalidade.”</w:t>
      </w:r>
      <w:r>
        <w:t xml:space="preserve"> </w:t>
      </w:r>
      <w:r>
        <w:t xml:space="preserve">– Princípio da prova legal (CPC, art. 20.º).</w:t>
      </w:r>
    </w:p>
    <w:p>
      <w:pPr>
        <w:pStyle w:val="FirstParagraph"/>
      </w:pPr>
      <w:r>
        <w:t xml:space="preserve">Solicita‑se a todos os membros da equipa que cumpram rigorosamente os prazos indicados e que mantenham comunicação constante através do grupo interno “Defesa 2023/0456”.</w:t>
      </w:r>
    </w:p>
    <w:p>
      <w:pPr>
        <w:pStyle w:val="BodyText"/>
      </w:pPr>
      <w:r>
        <w:rPr>
          <w:i/>
          <w:iCs/>
        </w:rPr>
        <w:t xml:space="preserve">Preparado por:</w:t>
      </w:r>
      <w:r>
        <w:br/>
      </w:r>
      <w:r>
        <w:rPr>
          <w:b/>
          <w:bCs/>
        </w:rPr>
        <w:t xml:space="preserve">Dr. Ana Pereira</w:t>
      </w:r>
      <w:r>
        <w:t xml:space="preserve"> </w:t>
      </w:r>
      <w:r>
        <w:t xml:space="preserve">– Advogada de defesa (OA 12345)</w:t>
      </w:r>
    </w:p>
    <w:p>
      <w:pPr>
        <w:pStyle w:val="BodyText"/>
      </w:pPr>
      <w:r>
        <w:rPr>
          <w:i/>
          <w:iCs/>
        </w:rPr>
        <w:t xml:space="preserve">Revisado por:</w:t>
      </w:r>
      <w:r>
        <w:br/>
      </w:r>
      <w:r>
        <w:rPr>
          <w:b/>
          <w:bCs/>
        </w:rPr>
        <w:t xml:space="preserve">Dr. Luís Carvalho</w:t>
      </w:r>
      <w:r>
        <w:t xml:space="preserve"> </w:t>
      </w:r>
      <w:r>
        <w:t xml:space="preserve">– Advogado de defesa (OA 67890)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